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humanistyczno - prawnicza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905"/>
        <w:gridCol w:w="10631"/>
        <w:tblGridChange w:id="0">
          <w:tblGrid>
            <w:gridCol w:w="1740"/>
            <w:gridCol w:w="1905"/>
            <w:gridCol w:w="10631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wyrazu:  Część 1 starożytność, średniowiecze”.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“Sztuka wyrazu: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języka polskiego dla klasy 1 liceum i technikum. Zakres podstawowy i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 Education 954/1/2019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B. Jaroszewicz, J. Szumant, A. Wojdat - Niklewska - Wyd. Pearson Central Europe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"Zrozumieć przeszłość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rozszerzony. Część 1- Ryszard Kulesza, Krzysztof Kowalewski - Wyd. Nowa Era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1019/1/2019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1 - Arkadiusz Janicki, Jerzy Komorowski, Arkadiusz Peisert - Wyd. Nowa Era - 1035/1/2019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"Biologia na czasie 1".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Podręcznik  dla liceum i technikum. Zakres podstawowy.  - Anna Helmin, Jolanta Holeczek  - Wyd.  Nowa Era - 1006/1/2019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podstawowy. - R. Malarz, M. Więckowski - Wyd. Nowa Era - 983/1/2019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- L. Lehman, W. Polesiuk, G. Wojewoda - Wyd. WSiP - 999/1/2019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"Edukacja dla bezpieczeństwa. Klasa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Szkoła ponadpodstawowa. Zakres podstawowy. - B. Breitkopf, M. Cieśla - Wyd. WSiP - 992/2019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3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- 974/1/2019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E656AruyINYV9tUW93E+OQAOQ==">AMUW2mUEtQRaK0yilg801W0nuBFxdyeUWv2TvmYhZIu1UpTVH4fhsCONrBni14uiOGamL4wNAgVAAQaI8LgFjuyVvhKr1NF0eMpfAHQ7qDUhkh1Xb+BVED0=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